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0B8" w:rsidRDefault="001230B8" w:rsidP="001230B8">
      <w:pPr>
        <w:adjustRightInd w:val="0"/>
        <w:snapToGrid w:val="0"/>
        <w:ind w:firstLineChars="0" w:firstLine="0"/>
        <w:rPr>
          <w:rFonts w:ascii="黑体" w:eastAsia="黑体" w:hAnsi="黑体" w:cs="Times New Roman"/>
          <w:szCs w:val="20"/>
        </w:rPr>
      </w:pPr>
      <w:r w:rsidRPr="001230B8">
        <w:rPr>
          <w:rFonts w:ascii="黑体" w:eastAsia="黑体" w:hAnsi="黑体" w:cs="Times New Roman" w:hint="eastAsia"/>
          <w:szCs w:val="20"/>
        </w:rPr>
        <w:t>附件</w:t>
      </w:r>
      <w:r w:rsidR="00893BC1">
        <w:rPr>
          <w:rFonts w:ascii="黑体" w:eastAsia="黑体" w:hAnsi="黑体" w:cs="Times New Roman"/>
          <w:szCs w:val="20"/>
        </w:rPr>
        <w:t>3</w:t>
      </w:r>
    </w:p>
    <w:p w:rsidR="00893BC1" w:rsidRDefault="00893BC1" w:rsidP="00893BC1">
      <w:pPr>
        <w:pStyle w:val="a5"/>
        <w:spacing w:before="312" w:after="312"/>
        <w:rPr>
          <w:rStyle w:val="ac"/>
          <w:rFonts w:ascii="黑体" w:hAnsi="黑体"/>
          <w:kern w:val="2"/>
        </w:rPr>
      </w:pPr>
      <w:bookmarkStart w:id="0" w:name="_GoBack"/>
      <w:bookmarkEnd w:id="0"/>
      <w:r>
        <w:rPr>
          <w:rFonts w:hint="eastAsia"/>
        </w:rPr>
        <w:t>合作及支持企业介绍</w:t>
      </w:r>
    </w:p>
    <w:p w:rsidR="00893BC1" w:rsidRPr="00D543BB" w:rsidRDefault="00893BC1" w:rsidP="00893BC1">
      <w:pPr>
        <w:ind w:firstLine="640"/>
        <w:rPr>
          <w:rFonts w:ascii="楷体" w:eastAsia="楷体" w:hAnsi="楷体"/>
        </w:rPr>
      </w:pPr>
      <w:r w:rsidRPr="00D543BB">
        <w:rPr>
          <w:rFonts w:ascii="楷体" w:eastAsia="楷体" w:hAnsi="楷体" w:hint="eastAsia"/>
          <w:kern w:val="0"/>
        </w:rPr>
        <w:t>冠名合作单位：</w:t>
      </w:r>
      <w:proofErr w:type="gramStart"/>
      <w:r w:rsidRPr="00D543BB">
        <w:rPr>
          <w:rFonts w:ascii="楷体" w:eastAsia="楷体" w:hAnsi="楷体" w:hint="eastAsia"/>
        </w:rPr>
        <w:t>英飞凌科技</w:t>
      </w:r>
      <w:proofErr w:type="gramEnd"/>
      <w:r w:rsidRPr="00D543BB">
        <w:rPr>
          <w:rFonts w:ascii="楷体" w:eastAsia="楷体" w:hAnsi="楷体" w:hint="eastAsia"/>
        </w:rPr>
        <w:t>有限公司</w:t>
      </w:r>
    </w:p>
    <w:p w:rsidR="00893BC1" w:rsidRPr="00676B33" w:rsidRDefault="00893BC1" w:rsidP="00893BC1">
      <w:pPr>
        <w:ind w:firstLine="640"/>
        <w:rPr>
          <w:szCs w:val="32"/>
        </w:rPr>
      </w:pPr>
      <w:r w:rsidRPr="00676B33">
        <w:rPr>
          <w:rFonts w:hint="eastAsia"/>
          <w:szCs w:val="32"/>
        </w:rPr>
        <w:t xml:space="preserve">Infineon </w:t>
      </w:r>
      <w:proofErr w:type="spellStart"/>
      <w:r w:rsidRPr="00676B33">
        <w:rPr>
          <w:rFonts w:hint="eastAsia"/>
          <w:szCs w:val="32"/>
        </w:rPr>
        <w:t>GaN</w:t>
      </w:r>
      <w:proofErr w:type="spellEnd"/>
      <w:r w:rsidRPr="00676B33">
        <w:rPr>
          <w:rFonts w:hint="eastAsia"/>
          <w:szCs w:val="32"/>
        </w:rPr>
        <w:t>杯第十届高校电力电子应用设计大赛</w:t>
      </w:r>
      <w:r w:rsidRPr="00676B33">
        <w:rPr>
          <w:rFonts w:hint="eastAsia"/>
          <w:kern w:val="0"/>
          <w:szCs w:val="32"/>
        </w:rPr>
        <w:t>由</w:t>
      </w:r>
      <w:proofErr w:type="gramStart"/>
      <w:r w:rsidRPr="00676B33">
        <w:rPr>
          <w:rFonts w:hint="eastAsia"/>
          <w:szCs w:val="32"/>
        </w:rPr>
        <w:t>英飞凌科技</w:t>
      </w:r>
      <w:proofErr w:type="gramEnd"/>
      <w:r w:rsidRPr="00676B33">
        <w:rPr>
          <w:rFonts w:hint="eastAsia"/>
          <w:szCs w:val="32"/>
        </w:rPr>
        <w:t>有限公司</w:t>
      </w:r>
      <w:r>
        <w:rPr>
          <w:rFonts w:hint="eastAsia"/>
          <w:szCs w:val="32"/>
        </w:rPr>
        <w:t>作为</w:t>
      </w:r>
      <w:r w:rsidRPr="00676B33">
        <w:rPr>
          <w:rFonts w:hint="eastAsia"/>
          <w:kern w:val="0"/>
          <w:szCs w:val="32"/>
        </w:rPr>
        <w:t>冠名</w:t>
      </w:r>
      <w:r>
        <w:rPr>
          <w:rFonts w:hint="eastAsia"/>
          <w:kern w:val="0"/>
          <w:szCs w:val="32"/>
        </w:rPr>
        <w:t>合作单位</w:t>
      </w:r>
      <w:r w:rsidRPr="00676B33">
        <w:rPr>
          <w:rFonts w:hint="eastAsia"/>
          <w:kern w:val="0"/>
          <w:szCs w:val="32"/>
        </w:rPr>
        <w:t>。</w:t>
      </w:r>
      <w:proofErr w:type="gramStart"/>
      <w:r w:rsidRPr="00676B33">
        <w:rPr>
          <w:rFonts w:hint="eastAsia"/>
          <w:szCs w:val="32"/>
        </w:rPr>
        <w:t>英飞凌科技</w:t>
      </w:r>
      <w:proofErr w:type="gramEnd"/>
      <w:r w:rsidRPr="00676B33">
        <w:rPr>
          <w:rFonts w:hint="eastAsia"/>
          <w:szCs w:val="32"/>
        </w:rPr>
        <w:t>有限公司提供设计、研发、生产并销售范围广泛的半导体和基于半导体的解决方案，聚焦汽车、工业和消费电子等行业的关键市场。其产品丰富多样，从标准元器件，到面向数字、模拟和混合信号应用的特殊元器件，再到专为客户打造的特定解决方案以及软件。</w:t>
      </w:r>
    </w:p>
    <w:p w:rsidR="00893BC1" w:rsidRPr="00676B33" w:rsidRDefault="00893BC1" w:rsidP="00893BC1">
      <w:pPr>
        <w:ind w:firstLine="640"/>
        <w:rPr>
          <w:szCs w:val="32"/>
        </w:rPr>
      </w:pPr>
      <w:r w:rsidRPr="00676B33">
        <w:rPr>
          <w:rFonts w:hint="eastAsia"/>
          <w:szCs w:val="32"/>
        </w:rPr>
        <w:t>半导体对于应对如今能源挑战和塑造数字化转型至关重要。正因如此，</w:t>
      </w:r>
      <w:proofErr w:type="gramStart"/>
      <w:r w:rsidRPr="00676B33">
        <w:rPr>
          <w:rFonts w:hint="eastAsia"/>
          <w:szCs w:val="32"/>
        </w:rPr>
        <w:t>英飞凌</w:t>
      </w:r>
      <w:proofErr w:type="gramEnd"/>
      <w:r w:rsidRPr="00676B33">
        <w:rPr>
          <w:rFonts w:hint="eastAsia"/>
          <w:szCs w:val="32"/>
        </w:rPr>
        <w:t>致力于打造一个更加便利、安全和环保的世界，在赢得自身成功发展的同时，积极</w:t>
      </w:r>
      <w:proofErr w:type="gramStart"/>
      <w:r w:rsidRPr="00676B33">
        <w:rPr>
          <w:rFonts w:hint="eastAsia"/>
          <w:szCs w:val="32"/>
        </w:rPr>
        <w:t>践行</w:t>
      </w:r>
      <w:proofErr w:type="gramEnd"/>
      <w:r w:rsidRPr="00676B33">
        <w:rPr>
          <w:rFonts w:hint="eastAsia"/>
          <w:szCs w:val="32"/>
        </w:rPr>
        <w:t>企业社会责任，积极</w:t>
      </w:r>
      <w:proofErr w:type="gramStart"/>
      <w:r w:rsidRPr="00676B33">
        <w:rPr>
          <w:rFonts w:hint="eastAsia"/>
          <w:szCs w:val="32"/>
        </w:rPr>
        <w:t>推动低碳化</w:t>
      </w:r>
      <w:proofErr w:type="gramEnd"/>
      <w:r w:rsidRPr="00676B33">
        <w:rPr>
          <w:rFonts w:hint="eastAsia"/>
          <w:szCs w:val="32"/>
        </w:rPr>
        <w:t>和数字化进程。作为全球功率系统和</w:t>
      </w:r>
      <w:proofErr w:type="gramStart"/>
      <w:r w:rsidRPr="00676B33">
        <w:rPr>
          <w:rFonts w:hint="eastAsia"/>
          <w:szCs w:val="32"/>
        </w:rPr>
        <w:t>物联网</w:t>
      </w:r>
      <w:proofErr w:type="gramEnd"/>
      <w:r w:rsidRPr="00676B33">
        <w:rPr>
          <w:rFonts w:hint="eastAsia"/>
          <w:szCs w:val="32"/>
        </w:rPr>
        <w:t>领域的半导体领导者，</w:t>
      </w:r>
      <w:proofErr w:type="gramStart"/>
      <w:r w:rsidRPr="00676B33">
        <w:rPr>
          <w:rFonts w:hint="eastAsia"/>
          <w:szCs w:val="32"/>
        </w:rPr>
        <w:t>英飞凌</w:t>
      </w:r>
      <w:proofErr w:type="gramEnd"/>
      <w:r w:rsidRPr="00676B33">
        <w:rPr>
          <w:rFonts w:hint="eastAsia"/>
          <w:szCs w:val="32"/>
        </w:rPr>
        <w:t>助力打造引发行业变革的解决方案，以实现绿色高效的能源、环保安全的出行以及智能安全的物联网。我们的产品和解决方案催生出新的产品与服务，让生活更加便利、安全和环保，</w:t>
      </w:r>
      <w:proofErr w:type="gramStart"/>
      <w:r w:rsidRPr="00676B33">
        <w:rPr>
          <w:rFonts w:hint="eastAsia"/>
          <w:szCs w:val="32"/>
        </w:rPr>
        <w:t>英飞凌</w:t>
      </w:r>
      <w:r w:rsidRPr="00676B33">
        <w:rPr>
          <w:rFonts w:hAnsi="微软雅黑" w:cs="微软雅黑" w:hint="eastAsia"/>
          <w:szCs w:val="32"/>
        </w:rPr>
        <w:t>将</w:t>
      </w:r>
      <w:proofErr w:type="gramEnd"/>
      <w:r w:rsidRPr="00676B33">
        <w:rPr>
          <w:rFonts w:hAnsi="仿宋_GB2312" w:cs="仿宋_GB2312" w:hint="eastAsia"/>
          <w:szCs w:val="32"/>
        </w:rPr>
        <w:t>携手我们的客户和合作伙伴，共同创造更加美好的未来。</w:t>
      </w:r>
    </w:p>
    <w:p w:rsidR="00893BC1" w:rsidRPr="00676B33" w:rsidRDefault="00893BC1" w:rsidP="00893BC1">
      <w:pPr>
        <w:ind w:firstLine="640"/>
        <w:rPr>
          <w:szCs w:val="32"/>
        </w:rPr>
      </w:pPr>
      <w:proofErr w:type="gramStart"/>
      <w:r w:rsidRPr="00676B33">
        <w:rPr>
          <w:rFonts w:hint="eastAsia"/>
          <w:szCs w:val="32"/>
        </w:rPr>
        <w:t>英飞凌</w:t>
      </w:r>
      <w:proofErr w:type="gramEnd"/>
      <w:r w:rsidRPr="00676B33">
        <w:rPr>
          <w:rFonts w:hAnsi="PMingLiU" w:hint="eastAsia"/>
          <w:szCs w:val="32"/>
        </w:rPr>
        <w:t>在</w:t>
      </w:r>
      <w:r w:rsidRPr="00676B33">
        <w:rPr>
          <w:rFonts w:hint="eastAsia"/>
          <w:szCs w:val="32"/>
        </w:rPr>
        <w:t>功率半导体领域是</w:t>
      </w:r>
      <w:r>
        <w:rPr>
          <w:rFonts w:hint="eastAsia"/>
          <w:szCs w:val="32"/>
        </w:rPr>
        <w:t>毋庸置疑</w:t>
      </w:r>
      <w:r w:rsidRPr="00676B33">
        <w:rPr>
          <w:rFonts w:hint="eastAsia"/>
          <w:szCs w:val="32"/>
        </w:rPr>
        <w:t>的佼佼者，也是领先的功率系统创新者。我们基于硅、碳化硅和氮化镓的功率、驱动器、单片机和软件解决方案等对于提高能效和进一步发</w:t>
      </w:r>
      <w:r w:rsidRPr="00676B33">
        <w:rPr>
          <w:rFonts w:hint="eastAsia"/>
          <w:szCs w:val="32"/>
        </w:rPr>
        <w:lastRenderedPageBreak/>
        <w:t>展绿色电力不可或缺。</w:t>
      </w:r>
      <w:r w:rsidRPr="00676B33">
        <w:rPr>
          <w:rFonts w:hAnsi="PMingLiU" w:hint="eastAsia"/>
          <w:szCs w:val="32"/>
        </w:rPr>
        <w:t>在物联网领域，</w:t>
      </w:r>
      <w:proofErr w:type="gramStart"/>
      <w:r w:rsidRPr="00676B33">
        <w:rPr>
          <w:rFonts w:hint="eastAsia"/>
          <w:szCs w:val="32"/>
        </w:rPr>
        <w:t>英飞凌</w:t>
      </w:r>
      <w:proofErr w:type="gramEnd"/>
      <w:r w:rsidRPr="00676B33">
        <w:rPr>
          <w:rFonts w:hint="eastAsia"/>
          <w:szCs w:val="32"/>
        </w:rPr>
        <w:t>是领先的一站式技术合作伙伴，可助力打造智能、节能且安全的物联网解决方案</w:t>
      </w:r>
      <w:r w:rsidRPr="00676B33">
        <w:rPr>
          <w:rFonts w:hAnsi="PMingLiU" w:hint="eastAsia"/>
          <w:szCs w:val="32"/>
        </w:rPr>
        <w:t>，</w:t>
      </w:r>
      <w:r w:rsidRPr="00676B33">
        <w:rPr>
          <w:rFonts w:hint="eastAsia"/>
          <w:szCs w:val="32"/>
        </w:rPr>
        <w:t>我们的传感器、单片机和通信器件，以及安全技术和相关软件，对于实现工业和消费物联网必不可少。</w:t>
      </w:r>
    </w:p>
    <w:p w:rsidR="00893BC1" w:rsidRPr="00676B33" w:rsidRDefault="00893BC1" w:rsidP="00893BC1">
      <w:pPr>
        <w:ind w:firstLine="640"/>
        <w:rPr>
          <w:szCs w:val="32"/>
        </w:rPr>
      </w:pPr>
      <w:r w:rsidRPr="00676B33">
        <w:rPr>
          <w:rFonts w:hint="eastAsia"/>
          <w:szCs w:val="32"/>
        </w:rPr>
        <w:t>2023财年（截至9月30日）</w:t>
      </w:r>
      <w:proofErr w:type="gramStart"/>
      <w:r w:rsidRPr="00676B33">
        <w:rPr>
          <w:rFonts w:hint="eastAsia"/>
          <w:szCs w:val="32"/>
        </w:rPr>
        <w:t>英飞凌全球营收超过</w:t>
      </w:r>
      <w:proofErr w:type="gramEnd"/>
      <w:r w:rsidRPr="00676B33">
        <w:rPr>
          <w:rFonts w:hint="eastAsia"/>
          <w:szCs w:val="32"/>
        </w:rPr>
        <w:t>了160亿欧元，全球员工人数约为58,600人。</w:t>
      </w:r>
      <w:proofErr w:type="gramStart"/>
      <w:r w:rsidRPr="00676B33">
        <w:rPr>
          <w:rFonts w:hint="eastAsia"/>
          <w:szCs w:val="32"/>
        </w:rPr>
        <w:t>英飞凌</w:t>
      </w:r>
      <w:proofErr w:type="gramEnd"/>
      <w:r w:rsidRPr="00676B33">
        <w:rPr>
          <w:rFonts w:hint="eastAsia"/>
          <w:szCs w:val="32"/>
        </w:rPr>
        <w:t>在法兰克福证券交易所（股票代码：IFX）和美国柜台交易市场 OTCQX International Premier（股票代码：IFNNY）挂牌上市。</w:t>
      </w:r>
    </w:p>
    <w:p w:rsidR="00893BC1" w:rsidRPr="00D543BB" w:rsidRDefault="00893BC1" w:rsidP="00893BC1">
      <w:pPr>
        <w:ind w:firstLine="640"/>
        <w:rPr>
          <w:rFonts w:ascii="楷体" w:eastAsia="楷体" w:hAnsi="楷体"/>
          <w:kern w:val="0"/>
        </w:rPr>
      </w:pPr>
      <w:r w:rsidRPr="00D543BB">
        <w:rPr>
          <w:rFonts w:ascii="楷体" w:eastAsia="楷体" w:hAnsi="楷体" w:hint="eastAsia"/>
          <w:kern w:val="0"/>
        </w:rPr>
        <w:t>联合支持单位：宁波</w:t>
      </w:r>
      <w:proofErr w:type="gramStart"/>
      <w:r w:rsidRPr="00D543BB">
        <w:rPr>
          <w:rFonts w:ascii="楷体" w:eastAsia="楷体" w:hAnsi="楷体" w:hint="eastAsia"/>
          <w:kern w:val="0"/>
        </w:rPr>
        <w:t>希磁电子</w:t>
      </w:r>
      <w:proofErr w:type="gramEnd"/>
      <w:r w:rsidRPr="00D543BB">
        <w:rPr>
          <w:rFonts w:ascii="楷体" w:eastAsia="楷体" w:hAnsi="楷体" w:hint="eastAsia"/>
          <w:kern w:val="0"/>
        </w:rPr>
        <w:t>科技有限公司</w:t>
      </w:r>
    </w:p>
    <w:p w:rsidR="00893BC1" w:rsidRDefault="00893BC1" w:rsidP="00893BC1">
      <w:pPr>
        <w:pStyle w:val="ad"/>
        <w:ind w:firstLine="640"/>
        <w:rPr>
          <w:kern w:val="0"/>
        </w:rPr>
      </w:pPr>
      <w:r>
        <w:rPr>
          <w:rFonts w:hint="eastAsia"/>
          <w:kern w:val="0"/>
        </w:rPr>
        <w:t>宁波</w:t>
      </w:r>
      <w:proofErr w:type="gramStart"/>
      <w:r>
        <w:rPr>
          <w:rFonts w:hint="eastAsia"/>
          <w:kern w:val="0"/>
        </w:rPr>
        <w:t>希磁电子</w:t>
      </w:r>
      <w:proofErr w:type="gramEnd"/>
      <w:r>
        <w:rPr>
          <w:rFonts w:hint="eastAsia"/>
          <w:kern w:val="0"/>
        </w:rPr>
        <w:t>科技有限公司成立于2013年，是一家基于TMR技术的芯片级磁性传感器制造企业。公司有以海归博士及专家为核心超过40人的研发团队，涵盖TMR芯片设计、MEMS、磁路设计、电路设计等多领域人才。截至目前，已拥有国内外专利80余项。公司坚持自主创新，对现有电流传感器、磁性识别传感器、磁图像识别传感器、厚度检测传感器、齿轮传感器等多系列产品拥有全部知识产权，产品可广泛应用在电流检测、无损探伤、金融防伪、生物医疗、角度位移探测等领域。公司通过ISO90001质量认证体系和TS16949</w:t>
      </w:r>
      <w:proofErr w:type="gramStart"/>
      <w:r>
        <w:rPr>
          <w:rFonts w:hint="eastAsia"/>
          <w:kern w:val="0"/>
        </w:rPr>
        <w:t>汽车级</w:t>
      </w:r>
      <w:proofErr w:type="gramEnd"/>
      <w:r>
        <w:rPr>
          <w:rFonts w:hint="eastAsia"/>
          <w:kern w:val="0"/>
        </w:rPr>
        <w:t>认证体系。凭借对TMR核心技术的掌握以及不断创新，</w:t>
      </w:r>
      <w:proofErr w:type="gramStart"/>
      <w:r>
        <w:rPr>
          <w:rFonts w:hint="eastAsia"/>
          <w:kern w:val="0"/>
        </w:rPr>
        <w:t>希磁科技</w:t>
      </w:r>
      <w:proofErr w:type="gramEnd"/>
      <w:r>
        <w:rPr>
          <w:rFonts w:hint="eastAsia"/>
          <w:kern w:val="0"/>
        </w:rPr>
        <w:t>正在为新能源发电、新能源汽车、智能电网、智能家居、工业4.0等行业用户提供更具竞争力的解决方案。欲了解更多信息，请访问：http://www.sinomags.com/。</w:t>
      </w:r>
    </w:p>
    <w:p w:rsidR="00893BC1" w:rsidRPr="00D543BB" w:rsidRDefault="00893BC1" w:rsidP="00893BC1">
      <w:pPr>
        <w:ind w:firstLine="640"/>
        <w:rPr>
          <w:rFonts w:ascii="楷体" w:eastAsia="楷体" w:hAnsi="楷体"/>
          <w:szCs w:val="32"/>
        </w:rPr>
      </w:pPr>
      <w:r w:rsidRPr="00D543BB">
        <w:rPr>
          <w:rFonts w:ascii="楷体" w:eastAsia="楷体" w:hAnsi="楷体" w:hint="eastAsia"/>
          <w:kern w:val="0"/>
          <w:szCs w:val="32"/>
        </w:rPr>
        <w:t>联合支持单位：</w:t>
      </w:r>
      <w:r w:rsidRPr="00D543BB">
        <w:rPr>
          <w:rFonts w:ascii="楷体" w:eastAsia="楷体" w:hAnsi="楷体" w:hint="eastAsia"/>
          <w:szCs w:val="32"/>
        </w:rPr>
        <w:t>湖南艾华集团股份有限公司</w:t>
      </w:r>
    </w:p>
    <w:p w:rsidR="00893BC1" w:rsidRPr="002225A4" w:rsidRDefault="00893BC1" w:rsidP="00893BC1">
      <w:pPr>
        <w:spacing w:after="80"/>
        <w:ind w:firstLine="640"/>
        <w:rPr>
          <w:rFonts w:hAnsi="黑体" w:cs="黑体"/>
          <w:color w:val="3F3F3F"/>
          <w:szCs w:val="32"/>
        </w:rPr>
      </w:pPr>
      <w:r w:rsidRPr="002225A4">
        <w:rPr>
          <w:rFonts w:hAnsi="黑体" w:cs="黑体" w:hint="eastAsia"/>
          <w:color w:val="3F3F3F"/>
          <w:szCs w:val="32"/>
        </w:rPr>
        <w:lastRenderedPageBreak/>
        <w:t>湖南艾华集团股份有限公司成立于1985年，总部位于全球铝电解电容器最大生产基地-湖南益阳。艾华是一家以铝电解电容器和薄膜电容器为核心的制造型上市集团（股票代码603989），公司长期致力于铝电解电容器及薄膜电容器的研发、生产和销售，上游</w:t>
      </w:r>
      <w:proofErr w:type="gramStart"/>
      <w:r w:rsidRPr="002225A4">
        <w:rPr>
          <w:rFonts w:hAnsi="黑体" w:cs="黑体" w:hint="eastAsia"/>
          <w:color w:val="3F3F3F"/>
          <w:szCs w:val="32"/>
        </w:rPr>
        <w:t>延申至材料</w:t>
      </w:r>
      <w:proofErr w:type="gramEnd"/>
      <w:r w:rsidRPr="002225A4">
        <w:rPr>
          <w:rFonts w:hAnsi="黑体" w:cs="黑体" w:hint="eastAsia"/>
          <w:color w:val="3F3F3F"/>
          <w:szCs w:val="32"/>
        </w:rPr>
        <w:t>与设备制造。旗下7个制造基地分布于湖南、四川、江苏、新疆各地，在职员工5000余名，年产可达180亿支电容器。</w:t>
      </w:r>
    </w:p>
    <w:p w:rsidR="00893BC1" w:rsidRPr="002225A4" w:rsidRDefault="00893BC1" w:rsidP="00893BC1">
      <w:pPr>
        <w:spacing w:after="80"/>
        <w:ind w:firstLine="640"/>
        <w:rPr>
          <w:rFonts w:hAnsi="黑体" w:cs="黑体"/>
          <w:color w:val="3F3F3F"/>
          <w:szCs w:val="32"/>
        </w:rPr>
      </w:pPr>
      <w:r w:rsidRPr="002225A4">
        <w:rPr>
          <w:rFonts w:hAnsi="黑体" w:cs="黑体" w:hint="eastAsia"/>
          <w:color w:val="3F3F3F"/>
          <w:szCs w:val="32"/>
        </w:rPr>
        <w:t>艾华有全国唯一的以铝电解电容器为研究方向的国家级企业技术中心，并联合中南大学建立了博士后工作站，同时与多所高校都有长期合作，</w:t>
      </w:r>
      <w:proofErr w:type="gramStart"/>
      <w:r w:rsidRPr="002225A4">
        <w:rPr>
          <w:rFonts w:hAnsi="黑体" w:cs="黑体" w:hint="eastAsia"/>
          <w:color w:val="3F3F3F"/>
          <w:szCs w:val="32"/>
        </w:rPr>
        <w:t>专利超</w:t>
      </w:r>
      <w:proofErr w:type="gramEnd"/>
      <w:r w:rsidRPr="002225A4">
        <w:rPr>
          <w:rFonts w:hAnsi="黑体" w:cs="黑体" w:hint="eastAsia"/>
          <w:color w:val="3F3F3F"/>
          <w:szCs w:val="32"/>
        </w:rPr>
        <w:t>230余项，名列行业前茅；公司的CNAS可靠性实验室，满足IEC60384-4&amp;GB/T5993&amp;JIS C5101-4&amp;AEC-Q200的实验标准，具有30+项电容器产品试验能力，同时还有电源、照明、特殊应用等整机试验能力。</w:t>
      </w:r>
    </w:p>
    <w:p w:rsidR="00893BC1" w:rsidRPr="002225A4" w:rsidRDefault="00893BC1" w:rsidP="00893BC1">
      <w:pPr>
        <w:spacing w:after="80"/>
        <w:ind w:firstLine="640"/>
        <w:rPr>
          <w:rFonts w:hAnsi="黑体" w:cs="黑体"/>
          <w:color w:val="3F3F3F"/>
          <w:szCs w:val="32"/>
        </w:rPr>
      </w:pPr>
      <w:r w:rsidRPr="002225A4">
        <w:rPr>
          <w:rFonts w:hAnsi="黑体" w:cs="黑体" w:hint="eastAsia"/>
          <w:color w:val="3F3F3F"/>
          <w:szCs w:val="32"/>
        </w:rPr>
        <w:t>公司产品包括液态电容器（引线、贴片、牛角/焊片、螺栓）、高分子固态电容器、</w:t>
      </w:r>
      <w:proofErr w:type="gramStart"/>
      <w:r w:rsidRPr="002225A4">
        <w:rPr>
          <w:rFonts w:hAnsi="黑体" w:cs="黑体" w:hint="eastAsia"/>
          <w:color w:val="3F3F3F"/>
          <w:szCs w:val="32"/>
        </w:rPr>
        <w:t>固液混合</w:t>
      </w:r>
      <w:proofErr w:type="gramEnd"/>
      <w:r w:rsidRPr="002225A4">
        <w:rPr>
          <w:rFonts w:hAnsi="黑体" w:cs="黑体" w:hint="eastAsia"/>
          <w:color w:val="3F3F3F"/>
          <w:szCs w:val="32"/>
        </w:rPr>
        <w:t>电容器、高分子叠层电容器以及各种类薄膜电容器(直流DC-link、交流滤波、谐振、Snubber、安</w:t>
      </w:r>
      <w:proofErr w:type="gramStart"/>
      <w:r w:rsidRPr="002225A4">
        <w:rPr>
          <w:rFonts w:hAnsi="黑体" w:cs="黑体" w:hint="eastAsia"/>
          <w:color w:val="3F3F3F"/>
          <w:szCs w:val="32"/>
        </w:rPr>
        <w:t>规</w:t>
      </w:r>
      <w:proofErr w:type="gramEnd"/>
      <w:r w:rsidRPr="002225A4">
        <w:rPr>
          <w:rFonts w:hAnsi="黑体" w:cs="黑体" w:hint="eastAsia"/>
          <w:color w:val="3F3F3F"/>
          <w:szCs w:val="32"/>
        </w:rPr>
        <w:t>及汽车定制薄膜电容)，产品广泛应用于工业、通信、新能源、汽车、医疗军工、家电、照明、电脑等多个领域，在AC/DC、DC/DC电源、DC/AC逆变器、电机驱动、马达控制等电路应用中有储能、滤波、去</w:t>
      </w:r>
      <w:proofErr w:type="gramStart"/>
      <w:r w:rsidRPr="002225A4">
        <w:rPr>
          <w:rFonts w:hAnsi="黑体" w:cs="黑体" w:hint="eastAsia"/>
          <w:color w:val="3F3F3F"/>
          <w:szCs w:val="32"/>
        </w:rPr>
        <w:t>耦</w:t>
      </w:r>
      <w:proofErr w:type="gramEnd"/>
      <w:r w:rsidRPr="002225A4">
        <w:rPr>
          <w:rFonts w:hAnsi="黑体" w:cs="黑体" w:hint="eastAsia"/>
          <w:color w:val="3F3F3F"/>
          <w:szCs w:val="32"/>
        </w:rPr>
        <w:t>之作用。公司具有全球化的销售服务体系，可提供专业的电容器应用解决方案，满足各大高校、不同行业客户的电容需求。</w:t>
      </w:r>
    </w:p>
    <w:p w:rsidR="00893BC1" w:rsidRPr="002225A4" w:rsidRDefault="00893BC1" w:rsidP="00893BC1">
      <w:pPr>
        <w:spacing w:after="80"/>
        <w:ind w:firstLine="640"/>
        <w:rPr>
          <w:rFonts w:hAnsi="黑体" w:cs="黑体"/>
          <w:color w:val="3F3F3F"/>
          <w:szCs w:val="32"/>
        </w:rPr>
      </w:pPr>
      <w:r w:rsidRPr="002225A4">
        <w:rPr>
          <w:rFonts w:hAnsi="黑体" w:cs="黑体" w:hint="eastAsia"/>
          <w:color w:val="3F3F3F"/>
          <w:szCs w:val="32"/>
        </w:rPr>
        <w:lastRenderedPageBreak/>
        <w:t>本次电力电子应用设计大赛，艾华集团将提供免费样品支持及电容器相关的技术、应用培训。欢迎大家接洽联系，更多信息</w:t>
      </w:r>
      <w:proofErr w:type="gramStart"/>
      <w:r w:rsidRPr="002225A4">
        <w:rPr>
          <w:rFonts w:hAnsi="黑体" w:cs="黑体" w:hint="eastAsia"/>
          <w:color w:val="3F3F3F"/>
          <w:szCs w:val="32"/>
        </w:rPr>
        <w:t>请访问</w:t>
      </w:r>
      <w:proofErr w:type="gramEnd"/>
      <w:r w:rsidRPr="002225A4">
        <w:rPr>
          <w:rFonts w:hAnsi="黑体" w:cs="黑体" w:hint="eastAsia"/>
          <w:color w:val="3F3F3F"/>
          <w:szCs w:val="32"/>
        </w:rPr>
        <w:t>艾华</w:t>
      </w:r>
      <w:proofErr w:type="gramStart"/>
      <w:r w:rsidRPr="002225A4">
        <w:rPr>
          <w:rFonts w:hAnsi="黑体" w:cs="黑体" w:hint="eastAsia"/>
          <w:color w:val="3F3F3F"/>
          <w:szCs w:val="32"/>
        </w:rPr>
        <w:t>集团官网</w:t>
      </w:r>
      <w:proofErr w:type="gramEnd"/>
      <w:r w:rsidRPr="002225A4">
        <w:rPr>
          <w:rFonts w:hAnsi="黑体" w:cs="黑体" w:hint="eastAsia"/>
          <w:color w:val="3F3F3F"/>
          <w:szCs w:val="32"/>
        </w:rPr>
        <w:t xml:space="preserve"> www.aishi.com。</w:t>
      </w:r>
    </w:p>
    <w:p w:rsidR="00893BC1" w:rsidRPr="00D543BB" w:rsidRDefault="00893BC1" w:rsidP="00893BC1">
      <w:pPr>
        <w:ind w:firstLine="640"/>
        <w:rPr>
          <w:rFonts w:ascii="楷体" w:eastAsia="楷体" w:hAnsi="楷体"/>
          <w:szCs w:val="32"/>
        </w:rPr>
      </w:pPr>
      <w:r w:rsidRPr="00D543BB">
        <w:rPr>
          <w:rFonts w:ascii="楷体" w:eastAsia="楷体" w:hAnsi="楷体" w:hint="eastAsia"/>
          <w:kern w:val="0"/>
          <w:szCs w:val="32"/>
        </w:rPr>
        <w:t>联合支持单位：</w:t>
      </w:r>
      <w:r w:rsidRPr="00D543BB">
        <w:rPr>
          <w:rFonts w:ascii="楷体" w:eastAsia="楷体" w:hAnsi="楷体" w:hint="eastAsia"/>
        </w:rPr>
        <w:t>优利德科技 (中国 )股份有限公司</w:t>
      </w:r>
    </w:p>
    <w:p w:rsidR="00893BC1" w:rsidRPr="0018716D" w:rsidRDefault="00893BC1" w:rsidP="00893BC1">
      <w:pPr>
        <w:spacing w:after="80"/>
        <w:ind w:firstLine="640"/>
        <w:rPr>
          <w:rFonts w:hAnsi="宋体"/>
          <w:szCs w:val="32"/>
        </w:rPr>
      </w:pPr>
      <w:r w:rsidRPr="0018716D">
        <w:rPr>
          <w:rFonts w:hAnsi="宋体" w:hint="eastAsia"/>
          <w:szCs w:val="32"/>
        </w:rPr>
        <w:t>优利德科技（中国）股份有限公司是集仪器仪表研发、生产、销售为一体的仪器仪表综合型企业。公司秉承为全球用户提供高质量、高安全性、高可靠性、高性价比的测试测量产品及综合解决方案，坚持以科技及人文为本，致力于成为仪器仪表的全球知名品牌。</w:t>
      </w:r>
    </w:p>
    <w:p w:rsidR="00893BC1" w:rsidRDefault="00893BC1" w:rsidP="00893BC1">
      <w:pPr>
        <w:ind w:firstLine="640"/>
        <w:rPr>
          <w:rFonts w:hAnsi="宋体"/>
          <w:szCs w:val="32"/>
        </w:rPr>
      </w:pPr>
      <w:r w:rsidRPr="0018716D">
        <w:rPr>
          <w:rFonts w:hAnsi="宋体" w:hint="eastAsia"/>
          <w:szCs w:val="32"/>
        </w:rPr>
        <w:t>优利德成立于2003年，总部设于东莞松山湖园区。主要产品包括测试仪器、通用仪表、专业仪表、温度及环境测试仪表等。测试仪器先后推出了数字示波器、函数/任意波形发生器、频谱分析仪、可编程直流电源、数字万用表、数字交流毫伏表、可编程直流电子负载、</w:t>
      </w:r>
      <w:proofErr w:type="gramStart"/>
      <w:r w:rsidRPr="0018716D">
        <w:rPr>
          <w:rFonts w:hAnsi="宋体" w:hint="eastAsia"/>
          <w:szCs w:val="32"/>
        </w:rPr>
        <w:t>智能电参数</w:t>
      </w:r>
      <w:proofErr w:type="gramEnd"/>
      <w:r w:rsidRPr="0018716D">
        <w:rPr>
          <w:rFonts w:hAnsi="宋体" w:hint="eastAsia"/>
          <w:szCs w:val="32"/>
        </w:rPr>
        <w:t>测量仪、数字电桥、直流电阻测试仪、电池内阻测试仪、多路温度测试仪、可编程耐压测试仪、可编程交流变频电源、教学实验平台等多款产品，广泛应用于高等教育及科研、移动通信、半导体设计与测试、汽车电子、新能源、工业生产及自动化、计量检测认证等领域。了解更多信息请浏览htt</w:t>
      </w:r>
      <w:r w:rsidRPr="0018716D">
        <w:rPr>
          <w:rFonts w:hAnsi="宋体"/>
          <w:szCs w:val="32"/>
        </w:rPr>
        <w:t>ps://instruments.uni-trend.com.cn/</w:t>
      </w:r>
    </w:p>
    <w:p w:rsidR="00893BC1" w:rsidRPr="0018716D" w:rsidRDefault="00893BC1" w:rsidP="00893BC1">
      <w:pPr>
        <w:ind w:firstLine="640"/>
        <w:rPr>
          <w:rFonts w:hAnsi="宋体"/>
          <w:szCs w:val="32"/>
        </w:rPr>
      </w:pPr>
      <w:r w:rsidRPr="0018716D">
        <w:rPr>
          <w:rFonts w:hint="eastAsia"/>
        </w:rPr>
        <w:t>优利德科技 (中国 )股份有限公司</w:t>
      </w:r>
      <w:r w:rsidRPr="0018716D">
        <w:rPr>
          <w:rFonts w:hAnsi="宋体"/>
          <w:szCs w:val="32"/>
        </w:rPr>
        <w:t>同时</w:t>
      </w:r>
      <w:r w:rsidRPr="0018716D">
        <w:rPr>
          <w:rFonts w:hint="eastAsia"/>
        </w:rPr>
        <w:t>是本次大赛</w:t>
      </w:r>
      <w:r w:rsidRPr="0018716D">
        <w:rPr>
          <w:rFonts w:hAnsi="宋体" w:hint="eastAsia"/>
          <w:szCs w:val="32"/>
        </w:rPr>
        <w:t>测试设备供应商之一。</w:t>
      </w:r>
    </w:p>
    <w:p w:rsidR="00893BC1" w:rsidRPr="00D543BB" w:rsidRDefault="00893BC1" w:rsidP="00893BC1">
      <w:pPr>
        <w:ind w:firstLine="640"/>
        <w:rPr>
          <w:rFonts w:ascii="楷体" w:eastAsia="楷体" w:hAnsi="楷体"/>
          <w:szCs w:val="32"/>
        </w:rPr>
      </w:pPr>
      <w:r w:rsidRPr="00D543BB">
        <w:rPr>
          <w:rFonts w:ascii="楷体" w:eastAsia="楷体" w:hAnsi="楷体" w:hint="eastAsia"/>
          <w:kern w:val="0"/>
          <w:szCs w:val="32"/>
        </w:rPr>
        <w:t>联合支持单位：</w:t>
      </w:r>
      <w:r w:rsidRPr="00D543BB">
        <w:rPr>
          <w:rFonts w:ascii="楷体" w:eastAsia="楷体" w:hAnsi="楷体" w:hint="eastAsia"/>
        </w:rPr>
        <w:t>意法半导体（中国）投资有限公司</w:t>
      </w:r>
    </w:p>
    <w:p w:rsidR="00893BC1" w:rsidRPr="00481534" w:rsidRDefault="00893BC1" w:rsidP="00893BC1">
      <w:pPr>
        <w:ind w:firstLine="640"/>
        <w:rPr>
          <w:rFonts w:hAnsi="宋体"/>
          <w:szCs w:val="32"/>
        </w:rPr>
      </w:pPr>
      <w:r w:rsidRPr="00481534">
        <w:rPr>
          <w:rFonts w:hAnsi="宋体" w:hint="eastAsia"/>
          <w:szCs w:val="32"/>
        </w:rPr>
        <w:lastRenderedPageBreak/>
        <w:t>意法半导体公司（ST）为半导体垂直整合制造商(IDM)，总部设立于瑞士日内瓦，全球员工总数约50,000人，其中包含9,500多名研发人员，在全球设立80多个营销办事处，拥有14个制造基地。</w:t>
      </w:r>
    </w:p>
    <w:p w:rsidR="00893BC1" w:rsidRDefault="00893BC1" w:rsidP="00893BC1">
      <w:pPr>
        <w:ind w:firstLine="640"/>
        <w:rPr>
          <w:rFonts w:hAnsi="宋体"/>
          <w:szCs w:val="32"/>
        </w:rPr>
      </w:pPr>
      <w:r w:rsidRPr="00481534">
        <w:rPr>
          <w:rFonts w:hAnsi="宋体" w:hint="eastAsia"/>
          <w:szCs w:val="32"/>
        </w:rPr>
        <w:t>ST在亚洲设立了7个技术创新中心，总部均位于中国。其中“电源与能源技术创新中心”的实验室拥有业内富有经验的系统应用专家，帮助客户快速“从产品到解决方案”，并预测他们的需求。该实验中心既可以为客户提供世界一流的产品和解决方案，以应对工业客户的需求，也能够帮助客户在拓扑选择，线路图/PCB设计，元器件选型，样机调试及优化以及量产化方面提供全方位支持。</w:t>
      </w:r>
      <w:r>
        <w:rPr>
          <w:rFonts w:hint="eastAsia"/>
          <w:kern w:val="0"/>
        </w:rPr>
        <w:t>欲了解更多信息，请访问：</w:t>
      </w:r>
      <w:r w:rsidRPr="00481534">
        <w:rPr>
          <w:rFonts w:hAnsi="宋体"/>
          <w:szCs w:val="32"/>
        </w:rPr>
        <w:t>www.st.com</w:t>
      </w:r>
      <w:r>
        <w:rPr>
          <w:rFonts w:hAnsi="宋体"/>
          <w:szCs w:val="32"/>
        </w:rPr>
        <w:t>。</w:t>
      </w:r>
    </w:p>
    <w:p w:rsidR="00893BC1" w:rsidRPr="00D543BB" w:rsidRDefault="00893BC1" w:rsidP="00893BC1">
      <w:pPr>
        <w:ind w:firstLine="640"/>
        <w:rPr>
          <w:rFonts w:ascii="楷体" w:eastAsia="楷体" w:hAnsi="楷体"/>
          <w:szCs w:val="32"/>
        </w:rPr>
      </w:pPr>
      <w:r w:rsidRPr="00D543BB">
        <w:rPr>
          <w:rFonts w:ascii="楷体" w:eastAsia="楷体" w:hAnsi="楷体" w:hint="eastAsia"/>
          <w:szCs w:val="32"/>
        </w:rPr>
        <w:t>测试设备供应商之一：</w:t>
      </w:r>
      <w:hyperlink r:id="rId7" w:history="1">
        <w:r w:rsidRPr="00D543BB">
          <w:rPr>
            <w:rFonts w:ascii="楷体" w:eastAsia="楷体" w:hAnsi="楷体" w:hint="eastAsia"/>
            <w:szCs w:val="32"/>
          </w:rPr>
          <w:t>艾德克斯电子有限公司</w:t>
        </w:r>
      </w:hyperlink>
    </w:p>
    <w:p w:rsidR="00893BC1" w:rsidRDefault="00893BC1" w:rsidP="00893BC1">
      <w:pPr>
        <w:ind w:firstLine="640"/>
        <w:rPr>
          <w:rFonts w:hAnsi="微软雅黑" w:cs="宋体"/>
          <w:color w:val="000000"/>
          <w:kern w:val="0"/>
          <w:szCs w:val="32"/>
        </w:rPr>
      </w:pPr>
      <w:r>
        <w:rPr>
          <w:rFonts w:hAnsi="微软雅黑" w:cs="宋体" w:hint="eastAsia"/>
          <w:color w:val="000000"/>
          <w:kern w:val="0"/>
          <w:szCs w:val="32"/>
        </w:rPr>
        <w:t>ITECH 面向全球的电力电子产业，汽车电子，半导体IC提供精准稳定的测试仪器产品，同时，也针对新能源产业提供先进全面的测试解决方案，为全球绿色能源产业发展贡献力量。</w:t>
      </w:r>
    </w:p>
    <w:p w:rsidR="00893BC1" w:rsidRDefault="00893BC1" w:rsidP="00893BC1">
      <w:pPr>
        <w:ind w:firstLine="640"/>
      </w:pPr>
      <w:r>
        <w:rPr>
          <w:rFonts w:hAnsi="微软雅黑" w:cs="宋体" w:hint="eastAsia"/>
          <w:color w:val="000000"/>
          <w:kern w:val="0"/>
          <w:szCs w:val="32"/>
        </w:rPr>
        <w:t>ITECH测试解决方案广泛应用于：电源测试、电池测试、汽车电子及新能源汽车动力电池、充电桩、充电机测试、太阳能电池测试、LED产业以及半导体产业等。从硬件到软件全部由ITECH自主研发，结合配套设计优势，让用户能够享受到稳定、兼容性俱佳的测试系统。单机产品多达700个型号，为客户提供丰富的产品线，包括：可编程单路及多路电</w:t>
      </w:r>
      <w:r>
        <w:rPr>
          <w:rFonts w:hAnsi="微软雅黑" w:cs="宋体" w:hint="eastAsia"/>
          <w:color w:val="000000"/>
          <w:kern w:val="0"/>
          <w:szCs w:val="32"/>
        </w:rPr>
        <w:lastRenderedPageBreak/>
        <w:t>源、可编程单路及多路电子负载、高性能交流电源及交流电子负载、功率分析仪和电池内阻测试仪；自动测试系统产品包括：电源自动测试系统、电池测试系统、新能源汽车测试系统，太阳能电池测试系统、汽车电子相关测试系统以及老化测试系统等。</w:t>
      </w:r>
      <w:r>
        <w:rPr>
          <w:rFonts w:hint="eastAsia"/>
          <w:kern w:val="0"/>
        </w:rPr>
        <w:t>欲了解更多信息，请访问：</w:t>
      </w:r>
      <w:r w:rsidRPr="00943EC1">
        <w:t>www.itechate.com</w:t>
      </w:r>
      <w:r>
        <w:rPr>
          <w:rFonts w:hint="eastAsia"/>
        </w:rPr>
        <w:t>。</w:t>
      </w:r>
    </w:p>
    <w:p w:rsidR="00893BC1" w:rsidRPr="00D543BB" w:rsidRDefault="00893BC1" w:rsidP="00893BC1">
      <w:pPr>
        <w:ind w:firstLine="640"/>
        <w:rPr>
          <w:rFonts w:ascii="楷体" w:eastAsia="楷体" w:hAnsi="楷体"/>
          <w:szCs w:val="32"/>
        </w:rPr>
      </w:pPr>
      <w:r w:rsidRPr="00D543BB">
        <w:rPr>
          <w:rFonts w:ascii="楷体" w:eastAsia="楷体" w:hAnsi="楷体" w:hint="eastAsia"/>
          <w:color w:val="333333"/>
          <w:shd w:val="clear" w:color="auto" w:fill="FFFFFF"/>
        </w:rPr>
        <w:t>EMI检测仪器提供服务商：</w:t>
      </w:r>
      <w:proofErr w:type="gramStart"/>
      <w:r w:rsidRPr="00D543BB">
        <w:rPr>
          <w:rFonts w:ascii="楷体" w:eastAsia="楷体" w:hAnsi="楷体" w:hint="eastAsia"/>
          <w:color w:val="333333"/>
          <w:shd w:val="clear" w:color="auto" w:fill="FFFFFF"/>
        </w:rPr>
        <w:t>敏业信息</w:t>
      </w:r>
      <w:proofErr w:type="gramEnd"/>
      <w:r w:rsidRPr="00D543BB">
        <w:rPr>
          <w:rFonts w:ascii="楷体" w:eastAsia="楷体" w:hAnsi="楷体" w:hint="eastAsia"/>
          <w:color w:val="333333"/>
          <w:shd w:val="clear" w:color="auto" w:fill="FFFFFF"/>
        </w:rPr>
        <w:t>科技（上海）有限公司</w:t>
      </w:r>
    </w:p>
    <w:p w:rsidR="00893BC1" w:rsidRPr="00CA53A2" w:rsidRDefault="00893BC1" w:rsidP="00893BC1">
      <w:pPr>
        <w:ind w:firstLine="640"/>
        <w:rPr>
          <w:szCs w:val="32"/>
        </w:rPr>
      </w:pPr>
      <w:proofErr w:type="gramStart"/>
      <w:r w:rsidRPr="00CA53A2">
        <w:rPr>
          <w:rFonts w:hint="eastAsia"/>
          <w:szCs w:val="32"/>
        </w:rPr>
        <w:t>敏业信息</w:t>
      </w:r>
      <w:proofErr w:type="gramEnd"/>
      <w:r w:rsidRPr="00CA53A2">
        <w:rPr>
          <w:rFonts w:hint="eastAsia"/>
          <w:szCs w:val="32"/>
        </w:rPr>
        <w:t>科技（上海）有限公司成立于2010年，以黄敏超博士为引领的20位国际化电磁专家团队，全球率先创办上海正远EMC整改及培训中心，为国内外企业提供EMC技术服务及EMC技术培训服务。公司的技术服务地域从北美、欧洲到国内各大主要城市，行业领域覆盖医疗、通讯、家电、电力、新能源发电、电动汽车、照明、军工和航天等。</w:t>
      </w:r>
    </w:p>
    <w:p w:rsidR="00893BC1" w:rsidRPr="00CA53A2" w:rsidRDefault="00893BC1" w:rsidP="00893BC1">
      <w:pPr>
        <w:ind w:firstLine="640"/>
        <w:rPr>
          <w:szCs w:val="32"/>
        </w:rPr>
      </w:pPr>
      <w:r w:rsidRPr="00CA53A2">
        <w:rPr>
          <w:rFonts w:hint="eastAsia"/>
          <w:szCs w:val="32"/>
        </w:rPr>
        <w:t>电磁兼容技术服务已为国内外近百家知名企业提供电磁兼容整改服务，同时获得了相关领域的多项专利。</w:t>
      </w:r>
    </w:p>
    <w:p w:rsidR="00893BC1" w:rsidRPr="00943EC1" w:rsidRDefault="00893BC1" w:rsidP="00893BC1">
      <w:pPr>
        <w:ind w:firstLine="640"/>
        <w:rPr>
          <w:szCs w:val="32"/>
        </w:rPr>
      </w:pPr>
      <w:r w:rsidRPr="00CA53A2">
        <w:rPr>
          <w:rFonts w:hint="eastAsia"/>
          <w:szCs w:val="32"/>
        </w:rPr>
        <w:t>公司在产业化进程中，首</w:t>
      </w:r>
      <w:proofErr w:type="gramStart"/>
      <w:r w:rsidRPr="00CA53A2">
        <w:rPr>
          <w:rFonts w:hint="eastAsia"/>
          <w:szCs w:val="32"/>
        </w:rPr>
        <w:t>款专业</w:t>
      </w:r>
      <w:proofErr w:type="gramEnd"/>
      <w:r w:rsidRPr="00CA53A2">
        <w:rPr>
          <w:rFonts w:hint="eastAsia"/>
          <w:szCs w:val="32"/>
        </w:rPr>
        <w:t>设计分析仪器“TALE EMI滤波器设计师MY-EM-180X”系列已上市，该仪器所能替代的市场产品有“频谱仪、网络分析仪、LISN、差共模分离器”，再配套本公司自主开发的滤波器设计仿真软件与上位机软件，使工程研发中滤波器的选择与设计变得便捷和精准，获得国内外专家的一致好评</w:t>
      </w:r>
      <w:r>
        <w:rPr>
          <w:rFonts w:hint="eastAsia"/>
          <w:szCs w:val="32"/>
        </w:rPr>
        <w:t>，网址：</w:t>
      </w:r>
      <w:r w:rsidRPr="00943EC1">
        <w:rPr>
          <w:szCs w:val="32"/>
        </w:rPr>
        <w:t>www.myemc.net.cn</w:t>
      </w:r>
      <w:r>
        <w:rPr>
          <w:rFonts w:hint="eastAsia"/>
          <w:szCs w:val="32"/>
        </w:rPr>
        <w:t>。</w:t>
      </w:r>
    </w:p>
    <w:p w:rsidR="00893BC1" w:rsidRPr="00893BC1" w:rsidRDefault="00893BC1" w:rsidP="001230B8">
      <w:pPr>
        <w:adjustRightInd w:val="0"/>
        <w:snapToGrid w:val="0"/>
        <w:ind w:firstLineChars="0" w:firstLine="0"/>
        <w:rPr>
          <w:rFonts w:ascii="黑体" w:eastAsia="黑体" w:hAnsi="黑体" w:cs="Times New Roman"/>
          <w:szCs w:val="20"/>
        </w:rPr>
      </w:pPr>
    </w:p>
    <w:sectPr w:rsidR="00893BC1" w:rsidRPr="00893BC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BC1" w:rsidRDefault="00893BC1" w:rsidP="00893BC1">
      <w:pPr>
        <w:spacing w:line="240" w:lineRule="auto"/>
        <w:ind w:firstLine="640"/>
      </w:pPr>
      <w:r>
        <w:separator/>
      </w:r>
    </w:p>
  </w:endnote>
  <w:endnote w:type="continuationSeparator" w:id="0">
    <w:p w:rsidR="00893BC1" w:rsidRDefault="00893BC1" w:rsidP="00893BC1">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BC1" w:rsidRDefault="00893BC1">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BC1" w:rsidRDefault="00893BC1">
    <w:pPr>
      <w:pStyle w:val="aa"/>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BC1" w:rsidRDefault="00893BC1">
    <w:pPr>
      <w:pStyle w:val="a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BC1" w:rsidRDefault="00893BC1" w:rsidP="00893BC1">
      <w:pPr>
        <w:spacing w:line="240" w:lineRule="auto"/>
        <w:ind w:firstLine="640"/>
      </w:pPr>
      <w:r>
        <w:separator/>
      </w:r>
    </w:p>
  </w:footnote>
  <w:footnote w:type="continuationSeparator" w:id="0">
    <w:p w:rsidR="00893BC1" w:rsidRDefault="00893BC1" w:rsidP="00893BC1">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BC1" w:rsidRDefault="00893BC1">
    <w:pPr>
      <w:pStyle w:val="ab"/>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BC1" w:rsidRPr="00893BC1" w:rsidRDefault="00893BC1" w:rsidP="00893BC1">
    <w:pPr>
      <w:pStyle w:val="ab"/>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BC1" w:rsidRDefault="00893BC1">
    <w:pPr>
      <w:pStyle w:val="ab"/>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64D0F"/>
    <w:multiLevelType w:val="multilevel"/>
    <w:tmpl w:val="82BCEDFC"/>
    <w:lvl w:ilvl="0">
      <w:start w:val="1"/>
      <w:numFmt w:val="none"/>
      <w:pStyle w:val="a"/>
      <w:suff w:val="nothing"/>
      <w:lvlText w:val=""/>
      <w:lvlJc w:val="center"/>
      <w:pPr>
        <w:ind w:left="0" w:firstLine="0"/>
      </w:pPr>
      <w:rPr>
        <w:rFonts w:hint="eastAsia"/>
      </w:rPr>
    </w:lvl>
    <w:lvl w:ilvl="1">
      <w:start w:val="1"/>
      <w:numFmt w:val="chineseCountingThousand"/>
      <w:pStyle w:val="1"/>
      <w:suff w:val="nothing"/>
      <w:lvlText w:val="%2、"/>
      <w:lvlJc w:val="left"/>
      <w:pPr>
        <w:ind w:left="0" w:firstLine="0"/>
      </w:pPr>
      <w:rPr>
        <w:rFonts w:hint="eastAsia"/>
      </w:rPr>
    </w:lvl>
    <w:lvl w:ilvl="2">
      <w:start w:val="1"/>
      <w:numFmt w:val="chineseCountingThousand"/>
      <w:pStyle w:val="2"/>
      <w:suff w:val="nothing"/>
      <w:lvlText w:val="（%3）"/>
      <w:lvlJc w:val="left"/>
      <w:pPr>
        <w:ind w:left="0" w:firstLine="0"/>
      </w:pPr>
      <w:rPr>
        <w:rFonts w:hint="eastAsia"/>
      </w:rPr>
    </w:lvl>
    <w:lvl w:ilvl="3">
      <w:start w:val="1"/>
      <w:numFmt w:val="decimal"/>
      <w:pStyle w:val="3"/>
      <w:suff w:val="nothing"/>
      <w:lvlText w:val="%4."/>
      <w:lvlJc w:val="left"/>
      <w:pPr>
        <w:ind w:left="0" w:firstLine="0"/>
      </w:pPr>
      <w:rPr>
        <w:rFonts w:hint="eastAsia"/>
      </w:rPr>
    </w:lvl>
    <w:lvl w:ilvl="4">
      <w:start w:val="1"/>
      <w:numFmt w:val="decimal"/>
      <w:pStyle w:val="4"/>
      <w:lvlText w:val="（%1%5）"/>
      <w:lvlJc w:val="left"/>
      <w:pPr>
        <w:ind w:left="0" w:firstLine="0"/>
      </w:pPr>
      <w:rPr>
        <w:rFonts w:hint="eastAsia"/>
      </w:rPr>
    </w:lvl>
    <w:lvl w:ilvl="5">
      <w:start w:val="1"/>
      <w:numFmt w:val="decimal"/>
      <w:lvlText w:val="%1.%2.%3.%4.%5.%6"/>
      <w:lvlJc w:val="left"/>
      <w:pPr>
        <w:ind w:left="0" w:firstLine="0"/>
      </w:pPr>
      <w:rPr>
        <w:rFonts w:hint="eastAsia"/>
      </w:rPr>
    </w:lvl>
    <w:lvl w:ilvl="6">
      <w:start w:val="2"/>
      <w:numFmt w:val="decimal"/>
      <w:lvlText w:val="%1.%2.%3.%4.%5.%6.%7"/>
      <w:lvlJc w:val="left"/>
      <w:pPr>
        <w:ind w:left="0" w:firstLine="0"/>
      </w:pPr>
      <w:rPr>
        <w:rFonts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0B8"/>
    <w:rsid w:val="001230B8"/>
    <w:rsid w:val="003C3526"/>
    <w:rsid w:val="00893BC1"/>
    <w:rsid w:val="00A85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1DE441-7C3A-417D-B867-BD97DDB51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85067"/>
    <w:pPr>
      <w:widowControl w:val="0"/>
      <w:spacing w:line="580" w:lineRule="exact"/>
      <w:ind w:firstLineChars="200" w:firstLine="200"/>
      <w:jc w:val="both"/>
    </w:pPr>
    <w:rPr>
      <w:rFonts w:ascii="仿宋_GB2312" w:eastAsia="仿宋_GB2312"/>
      <w:sz w:val="32"/>
    </w:rPr>
  </w:style>
  <w:style w:type="paragraph" w:styleId="1">
    <w:name w:val="heading 1"/>
    <w:basedOn w:val="a0"/>
    <w:next w:val="a0"/>
    <w:link w:val="1Char"/>
    <w:qFormat/>
    <w:rsid w:val="00A85067"/>
    <w:pPr>
      <w:numPr>
        <w:ilvl w:val="1"/>
        <w:numId w:val="5"/>
      </w:numPr>
      <w:ind w:firstLineChars="0"/>
      <w:outlineLvl w:val="0"/>
    </w:pPr>
    <w:rPr>
      <w:rFonts w:ascii="黑体" w:eastAsia="黑体" w:hAnsi="黑体"/>
      <w:szCs w:val="32"/>
    </w:rPr>
  </w:style>
  <w:style w:type="paragraph" w:styleId="2">
    <w:name w:val="heading 2"/>
    <w:basedOn w:val="a0"/>
    <w:next w:val="a0"/>
    <w:link w:val="2Char"/>
    <w:uiPriority w:val="9"/>
    <w:unhideWhenUsed/>
    <w:qFormat/>
    <w:rsid w:val="00A85067"/>
    <w:pPr>
      <w:numPr>
        <w:ilvl w:val="2"/>
        <w:numId w:val="5"/>
      </w:numPr>
      <w:ind w:firstLineChars="0"/>
      <w:outlineLvl w:val="1"/>
    </w:pPr>
    <w:rPr>
      <w:rFonts w:ascii="楷体" w:eastAsia="楷体" w:hAnsi="等线"/>
    </w:rPr>
  </w:style>
  <w:style w:type="paragraph" w:styleId="3">
    <w:name w:val="heading 3"/>
    <w:basedOn w:val="a0"/>
    <w:next w:val="a0"/>
    <w:link w:val="3Char"/>
    <w:uiPriority w:val="9"/>
    <w:unhideWhenUsed/>
    <w:qFormat/>
    <w:rsid w:val="00A85067"/>
    <w:pPr>
      <w:numPr>
        <w:ilvl w:val="3"/>
        <w:numId w:val="5"/>
      </w:numPr>
      <w:ind w:firstLineChars="0"/>
      <w:outlineLvl w:val="2"/>
    </w:pPr>
    <w:rPr>
      <w:bCs/>
      <w:szCs w:val="32"/>
    </w:rPr>
  </w:style>
  <w:style w:type="paragraph" w:styleId="4">
    <w:name w:val="heading 4"/>
    <w:basedOn w:val="a0"/>
    <w:next w:val="a0"/>
    <w:link w:val="4Char"/>
    <w:uiPriority w:val="9"/>
    <w:unhideWhenUsed/>
    <w:qFormat/>
    <w:rsid w:val="00A85067"/>
    <w:pPr>
      <w:numPr>
        <w:ilvl w:val="4"/>
        <w:numId w:val="5"/>
      </w:numPr>
      <w:outlineLvl w:val="3"/>
      <w15:collapsed/>
    </w:pPr>
    <w:rPr>
      <w:rFonts w:hAnsiTheme="majorHAnsi" w:cstheme="majorBidi"/>
      <w:bCs/>
      <w:szCs w:val="28"/>
    </w:rPr>
  </w:style>
  <w:style w:type="paragraph" w:styleId="5">
    <w:name w:val="heading 5"/>
    <w:basedOn w:val="a0"/>
    <w:next w:val="a0"/>
    <w:link w:val="5Char"/>
    <w:uiPriority w:val="9"/>
    <w:unhideWhenUsed/>
    <w:qFormat/>
    <w:rsid w:val="00A85067"/>
    <w:pPr>
      <w:keepNext/>
      <w:keepLines/>
      <w:spacing w:before="280" w:after="290" w:line="376" w:lineRule="atLeast"/>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uiPriority w:val="99"/>
    <w:semiHidden/>
    <w:unhideWhenUsed/>
    <w:rsid w:val="00A85067"/>
    <w:pPr>
      <w:spacing w:after="120"/>
    </w:pPr>
  </w:style>
  <w:style w:type="character" w:customStyle="1" w:styleId="Char">
    <w:name w:val="正文文本 Char"/>
    <w:basedOn w:val="a1"/>
    <w:link w:val="a4"/>
    <w:uiPriority w:val="99"/>
    <w:semiHidden/>
    <w:rsid w:val="00A85067"/>
    <w:rPr>
      <w:rFonts w:ascii="仿宋_GB2312" w:eastAsia="仿宋_GB2312"/>
      <w:sz w:val="32"/>
    </w:rPr>
  </w:style>
  <w:style w:type="paragraph" w:customStyle="1" w:styleId="FirstParagraph">
    <w:name w:val="First Paragraph"/>
    <w:basedOn w:val="a4"/>
    <w:next w:val="a4"/>
    <w:qFormat/>
    <w:rsid w:val="00A85067"/>
    <w:pPr>
      <w:spacing w:before="180" w:after="180"/>
    </w:pPr>
  </w:style>
  <w:style w:type="paragraph" w:styleId="a">
    <w:name w:val="Title"/>
    <w:basedOn w:val="a0"/>
    <w:next w:val="a0"/>
    <w:link w:val="Char0"/>
    <w:uiPriority w:val="10"/>
    <w:qFormat/>
    <w:rsid w:val="00A85067"/>
    <w:pPr>
      <w:numPr>
        <w:numId w:val="5"/>
      </w:numPr>
      <w:spacing w:beforeLines="150" w:before="150" w:afterLines="50" w:after="50"/>
      <w:ind w:firstLineChars="0"/>
      <w:jc w:val="center"/>
      <w:outlineLvl w:val="0"/>
    </w:pPr>
    <w:rPr>
      <w:rFonts w:ascii="方正小标宋简体" w:eastAsia="方正小标宋简体" w:hAnsiTheme="majorHAnsi" w:cstheme="majorBidi"/>
      <w:bCs/>
      <w:sz w:val="44"/>
      <w:szCs w:val="32"/>
    </w:rPr>
  </w:style>
  <w:style w:type="character" w:customStyle="1" w:styleId="Char0">
    <w:name w:val="标题 Char"/>
    <w:basedOn w:val="a1"/>
    <w:link w:val="a"/>
    <w:uiPriority w:val="10"/>
    <w:rsid w:val="00A85067"/>
    <w:rPr>
      <w:rFonts w:ascii="方正小标宋简体" w:eastAsia="方正小标宋简体" w:hAnsiTheme="majorHAnsi" w:cstheme="majorBidi"/>
      <w:bCs/>
      <w:sz w:val="44"/>
      <w:szCs w:val="32"/>
    </w:rPr>
  </w:style>
  <w:style w:type="character" w:customStyle="1" w:styleId="1Char">
    <w:name w:val="标题 1 Char"/>
    <w:link w:val="1"/>
    <w:rsid w:val="00A85067"/>
    <w:rPr>
      <w:rFonts w:ascii="黑体" w:eastAsia="黑体" w:hAnsi="黑体"/>
      <w:sz w:val="32"/>
      <w:szCs w:val="32"/>
    </w:rPr>
  </w:style>
  <w:style w:type="character" w:customStyle="1" w:styleId="2Char">
    <w:name w:val="标题 2 Char"/>
    <w:link w:val="2"/>
    <w:uiPriority w:val="9"/>
    <w:rsid w:val="00A85067"/>
    <w:rPr>
      <w:rFonts w:ascii="楷体" w:eastAsia="楷体" w:hAnsi="等线"/>
      <w:sz w:val="32"/>
    </w:rPr>
  </w:style>
  <w:style w:type="character" w:customStyle="1" w:styleId="3Char">
    <w:name w:val="标题 3 Char"/>
    <w:basedOn w:val="a1"/>
    <w:link w:val="3"/>
    <w:uiPriority w:val="9"/>
    <w:rsid w:val="00A85067"/>
    <w:rPr>
      <w:rFonts w:ascii="仿宋_GB2312" w:eastAsia="仿宋_GB2312"/>
      <w:bCs/>
      <w:sz w:val="32"/>
      <w:szCs w:val="32"/>
    </w:rPr>
  </w:style>
  <w:style w:type="character" w:customStyle="1" w:styleId="4Char">
    <w:name w:val="标题 4 Char"/>
    <w:basedOn w:val="a1"/>
    <w:link w:val="4"/>
    <w:uiPriority w:val="9"/>
    <w:rsid w:val="00A85067"/>
    <w:rPr>
      <w:rFonts w:ascii="仿宋_GB2312" w:eastAsia="仿宋_GB2312" w:hAnsiTheme="majorHAnsi" w:cstheme="majorBidi"/>
      <w:bCs/>
      <w:sz w:val="32"/>
      <w:szCs w:val="28"/>
    </w:rPr>
  </w:style>
  <w:style w:type="character" w:customStyle="1" w:styleId="5Char">
    <w:name w:val="标题 5 Char"/>
    <w:basedOn w:val="a1"/>
    <w:link w:val="5"/>
    <w:uiPriority w:val="9"/>
    <w:rsid w:val="00A85067"/>
    <w:rPr>
      <w:rFonts w:ascii="仿宋_GB2312" w:eastAsia="仿宋_GB2312"/>
      <w:b/>
      <w:bCs/>
      <w:sz w:val="28"/>
      <w:szCs w:val="28"/>
    </w:rPr>
  </w:style>
  <w:style w:type="paragraph" w:customStyle="1" w:styleId="30">
    <w:name w:val="标题3"/>
    <w:basedOn w:val="a0"/>
    <w:next w:val="a0"/>
    <w:link w:val="31"/>
    <w:rsid w:val="00A85067"/>
    <w:rPr>
      <w:rFonts w:eastAsia="楷体_GB2312"/>
    </w:rPr>
  </w:style>
  <w:style w:type="character" w:customStyle="1" w:styleId="31">
    <w:name w:val="标题3 字符"/>
    <w:basedOn w:val="a1"/>
    <w:link w:val="30"/>
    <w:rsid w:val="00A85067"/>
    <w:rPr>
      <w:rFonts w:ascii="仿宋_GB2312" w:eastAsia="楷体_GB2312"/>
      <w:sz w:val="32"/>
    </w:rPr>
  </w:style>
  <w:style w:type="paragraph" w:customStyle="1" w:styleId="a5">
    <w:name w:val="附件标题"/>
    <w:basedOn w:val="a0"/>
    <w:qFormat/>
    <w:rsid w:val="00A85067"/>
    <w:pPr>
      <w:keepNext/>
      <w:keepLines/>
      <w:adjustRightInd w:val="0"/>
      <w:snapToGrid w:val="0"/>
      <w:spacing w:beforeLines="100" w:before="100" w:afterLines="100" w:after="100"/>
      <w:ind w:firstLineChars="0" w:firstLine="0"/>
      <w:jc w:val="center"/>
      <w:outlineLvl w:val="0"/>
    </w:pPr>
    <w:rPr>
      <w:rFonts w:ascii="方正小标宋简体" w:eastAsia="方正小标宋简体" w:hAnsi="Times New Roman" w:cs="Times New Roman"/>
      <w:bCs/>
      <w:kern w:val="44"/>
      <w:sz w:val="44"/>
      <w:szCs w:val="44"/>
    </w:rPr>
  </w:style>
  <w:style w:type="paragraph" w:customStyle="1" w:styleId="a6">
    <w:name w:val="附件序号"/>
    <w:basedOn w:val="a0"/>
    <w:next w:val="a0"/>
    <w:link w:val="a7"/>
    <w:qFormat/>
    <w:rsid w:val="00A85067"/>
    <w:pPr>
      <w:pageBreakBefore/>
      <w:ind w:firstLineChars="0" w:firstLine="0"/>
    </w:pPr>
    <w:rPr>
      <w:rFonts w:ascii="黑体" w:eastAsia="黑体" w:hAnsi="黑体"/>
    </w:rPr>
  </w:style>
  <w:style w:type="character" w:customStyle="1" w:styleId="a7">
    <w:name w:val="附件序号 字符"/>
    <w:basedOn w:val="a1"/>
    <w:link w:val="a6"/>
    <w:rsid w:val="00A85067"/>
    <w:rPr>
      <w:rFonts w:ascii="黑体" w:eastAsia="黑体" w:hAnsi="黑体"/>
      <w:sz w:val="32"/>
    </w:rPr>
  </w:style>
  <w:style w:type="paragraph" w:styleId="a8">
    <w:name w:val="Subtitle"/>
    <w:basedOn w:val="a0"/>
    <w:next w:val="a0"/>
    <w:link w:val="Char1"/>
    <w:uiPriority w:val="11"/>
    <w:qFormat/>
    <w:rsid w:val="00A85067"/>
    <w:pPr>
      <w:spacing w:beforeLines="150" w:before="571" w:afterLines="50" w:after="190"/>
      <w:ind w:firstLineChars="0" w:firstLine="0"/>
      <w:jc w:val="center"/>
    </w:pPr>
    <w:rPr>
      <w:rFonts w:ascii="黑体" w:eastAsia="黑体"/>
      <w:szCs w:val="32"/>
    </w:rPr>
  </w:style>
  <w:style w:type="character" w:customStyle="1" w:styleId="Char1">
    <w:name w:val="副标题 Char"/>
    <w:basedOn w:val="a1"/>
    <w:link w:val="a8"/>
    <w:uiPriority w:val="11"/>
    <w:rsid w:val="00A85067"/>
    <w:rPr>
      <w:rFonts w:ascii="黑体" w:eastAsia="黑体"/>
      <w:sz w:val="32"/>
      <w:szCs w:val="32"/>
    </w:rPr>
  </w:style>
  <w:style w:type="paragraph" w:styleId="a9">
    <w:name w:val="List Paragraph"/>
    <w:basedOn w:val="a0"/>
    <w:uiPriority w:val="99"/>
    <w:qFormat/>
    <w:rsid w:val="00A85067"/>
    <w:pPr>
      <w:adjustRightInd w:val="0"/>
      <w:snapToGrid w:val="0"/>
      <w:ind w:firstLine="420"/>
    </w:pPr>
    <w:rPr>
      <w:rFonts w:hAnsi="Times New Roman" w:cs="Times New Roman"/>
      <w:szCs w:val="20"/>
    </w:rPr>
  </w:style>
  <w:style w:type="paragraph" w:styleId="aa">
    <w:name w:val="footer"/>
    <w:basedOn w:val="a0"/>
    <w:link w:val="Char2"/>
    <w:uiPriority w:val="99"/>
    <w:unhideWhenUsed/>
    <w:rsid w:val="00A85067"/>
    <w:pPr>
      <w:tabs>
        <w:tab w:val="center" w:pos="4153"/>
        <w:tab w:val="right" w:pos="8306"/>
      </w:tabs>
      <w:snapToGrid w:val="0"/>
      <w:jc w:val="left"/>
    </w:pPr>
    <w:rPr>
      <w:sz w:val="18"/>
      <w:szCs w:val="18"/>
    </w:rPr>
  </w:style>
  <w:style w:type="character" w:customStyle="1" w:styleId="Char2">
    <w:name w:val="页脚 Char"/>
    <w:basedOn w:val="a1"/>
    <w:link w:val="aa"/>
    <w:uiPriority w:val="99"/>
    <w:rsid w:val="00A85067"/>
    <w:rPr>
      <w:rFonts w:ascii="仿宋_GB2312" w:eastAsia="仿宋_GB2312"/>
      <w:sz w:val="18"/>
      <w:szCs w:val="18"/>
    </w:rPr>
  </w:style>
  <w:style w:type="paragraph" w:styleId="ab">
    <w:name w:val="header"/>
    <w:basedOn w:val="a0"/>
    <w:link w:val="Char3"/>
    <w:uiPriority w:val="99"/>
    <w:unhideWhenUsed/>
    <w:rsid w:val="00A85067"/>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b"/>
    <w:uiPriority w:val="99"/>
    <w:rsid w:val="00A85067"/>
    <w:rPr>
      <w:rFonts w:ascii="仿宋_GB2312" w:eastAsia="仿宋_GB2312"/>
      <w:sz w:val="18"/>
      <w:szCs w:val="18"/>
    </w:rPr>
  </w:style>
  <w:style w:type="character" w:customStyle="1" w:styleId="ac">
    <w:name w:val="附件"/>
    <w:uiPriority w:val="1"/>
    <w:qFormat/>
    <w:rsid w:val="00893BC1"/>
    <w:rPr>
      <w:rFonts w:eastAsia="黑体"/>
      <w:sz w:val="32"/>
    </w:rPr>
  </w:style>
  <w:style w:type="paragraph" w:customStyle="1" w:styleId="ad">
    <w:name w:val="附件正文"/>
    <w:basedOn w:val="a0"/>
    <w:qFormat/>
    <w:rsid w:val="00893BC1"/>
    <w:pPr>
      <w:adjustRightInd w:val="0"/>
      <w:snapToGrid w:val="0"/>
    </w:pPr>
    <w:rPr>
      <w:rFonts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meeting.cpss.org.cn/Home/Menu/6c51c6f2-f92e-4d37-92bd-e39d59165ef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523</Words>
  <Characters>2983</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梓民</dc:creator>
  <cp:keywords/>
  <dc:description/>
  <cp:lastModifiedBy>消失的艾泽拉斯</cp:lastModifiedBy>
  <cp:revision>2</cp:revision>
  <dcterms:created xsi:type="dcterms:W3CDTF">2023-01-17T01:23:00Z</dcterms:created>
  <dcterms:modified xsi:type="dcterms:W3CDTF">2024-01-31T02:32:00Z</dcterms:modified>
</cp:coreProperties>
</file>